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61" w:rsidRPr="00FB0F61" w:rsidRDefault="00FB0F61" w:rsidP="00FB0F61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181818"/>
          <w:kern w:val="36"/>
          <w:sz w:val="30"/>
          <w:szCs w:val="30"/>
          <w:lang w:eastAsia="ru-RU"/>
        </w:rPr>
      </w:pPr>
      <w:bookmarkStart w:id="0" w:name="_GoBack"/>
      <w:r w:rsidRPr="00FB0F61">
        <w:rPr>
          <w:rFonts w:ascii="Arial" w:eastAsia="Times New Roman" w:hAnsi="Arial" w:cs="Arial"/>
          <w:b/>
          <w:bCs/>
          <w:color w:val="181818"/>
          <w:kern w:val="36"/>
          <w:sz w:val="30"/>
          <w:szCs w:val="30"/>
          <w:lang w:eastAsia="ru-RU"/>
        </w:rPr>
        <w:t>Социальная защита инвалидов</w:t>
      </w:r>
      <w:bookmarkEnd w:id="0"/>
      <w:r w:rsidRPr="00FB0F61">
        <w:rPr>
          <w:rFonts w:ascii="Arial" w:eastAsia="Times New Roman" w:hAnsi="Arial" w:cs="Arial"/>
          <w:b/>
          <w:bCs/>
          <w:color w:val="181818"/>
          <w:kern w:val="36"/>
          <w:sz w:val="30"/>
          <w:szCs w:val="30"/>
          <w:lang w:eastAsia="ru-RU"/>
        </w:rPr>
        <w:t>. От изоляции к равенству.</w:t>
      </w:r>
    </w:p>
    <w:p w:rsidR="00FB0F61" w:rsidRPr="00FB0F61" w:rsidRDefault="00FB0F61" w:rsidP="00FB0F61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Одним из важных направлений социальной </w:t>
      </w:r>
      <w:proofErr w:type="spellStart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модеризации</w:t>
      </w:r>
      <w:proofErr w:type="spellEnd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является </w:t>
      </w:r>
      <w:r w:rsidRPr="00FB0F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развитие механизмов  социализации социально уязвимых категорий, в том числе и, в первую очередь</w:t>
      </w: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</w:t>
      </w:r>
      <w:r w:rsidRPr="00FB0F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инвалидов и людей с ограниченными возможностями.</w:t>
      </w:r>
    </w:p>
    <w:p w:rsidR="00FB0F61" w:rsidRPr="00FB0F61" w:rsidRDefault="00FB0F61" w:rsidP="00FB0F61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последние годы удалось приостановить рост инвалидности. Общая численность инвалидов в стране составляет около шестисот десяти тыс. человек, в </w:t>
      </w:r>
      <w:proofErr w:type="spellStart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т.ч</w:t>
      </w:r>
      <w:proofErr w:type="spellEnd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более шестидесяти пяти тысяч дете</w:t>
      </w:r>
      <w:proofErr w:type="gramStart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й-</w:t>
      </w:r>
      <w:proofErr w:type="gramEnd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инвалидов.</w:t>
      </w:r>
    </w:p>
    <w:p w:rsidR="00FB0F61" w:rsidRPr="00FB0F61" w:rsidRDefault="00FB0F61" w:rsidP="00FB0F61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Как известно, основными причинами инвалидности являются </w:t>
      </w:r>
      <w:r w:rsidRPr="00FB0F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заболеваемость населения</w:t>
      </w: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невысокое качество медицинских услуг,  производственный травматизм и неблагоприятные экологические условия,  нездоровый образ жизни и широкое распространение вредных привычек.</w:t>
      </w:r>
    </w:p>
    <w:p w:rsidR="00FB0F61" w:rsidRPr="00FB0F61" w:rsidRDefault="00FB0F61" w:rsidP="00FB0F61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 их предупреждению, реабилитации и созданию равных условий участия в жизни общества  и сводится социальная защита инвалидов. Она осуществляется сегодня в рамках Плана мероприятий по обеспечению прав  и  улучшению качества жизни  инвалидов в РК на 2012-2018 годы. Его выполнение  позволит Казахстану ратифицировать  Конвенцию  о правах инвалидов, подписанную Главой государства в 2008 году.</w:t>
      </w:r>
    </w:p>
    <w:p w:rsidR="00FB0F61" w:rsidRPr="00FB0F61" w:rsidRDefault="00FB0F61" w:rsidP="00FB0F61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Планом, исходя из индивидуального неблагополучия инвалидов. принимаются следующие меры:</w:t>
      </w:r>
    </w:p>
    <w:p w:rsidR="00FB0F61" w:rsidRPr="00FB0F61" w:rsidRDefault="00FB0F61" w:rsidP="00FB0F61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выплачиваются Государственные социальные пособия, в том числе введенное с 2010 года </w:t>
      </w:r>
      <w:r w:rsidRPr="005922C6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социальное пособие лицам, воспитывающим детей инвалидов</w:t>
      </w: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специальные государственные пособия   и социальные выплаты из ГФСС и страховых компаний. Средние размеры ГСП по инвалидности относительно невелики и составляют 18 874 тенге;</w:t>
      </w:r>
    </w:p>
    <w:p w:rsidR="00FB0F61" w:rsidRPr="00FB0F61" w:rsidRDefault="00FB0F61" w:rsidP="00FB0F61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бесплатно, по показаниям,  предоставляется технические вспомогательные (компенсаторные) средства, услуги индивидуального помощника образовательные и иные социальные услуги.  В последние годы  технические вспомогательные компенсаторные средства ежегодно получают более девяноста тыс. человек (или 80-82% </w:t>
      </w:r>
      <w:proofErr w:type="gramStart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</w:t>
      </w:r>
      <w:proofErr w:type="gramEnd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нуждающихся).   </w:t>
      </w:r>
      <w:r w:rsidRPr="00FB0F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Однако</w:t>
      </w: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только каждый  пятый  инвалид протезирован по новой современной технологии с использованием модульных протезов.</w:t>
      </w:r>
    </w:p>
    <w:p w:rsidR="00FB0F61" w:rsidRPr="00FB0F61" w:rsidRDefault="00FB0F61" w:rsidP="00FB0F61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Более 90  тыс. лиц с особыми потребностями ежегодно получают специальные социальные услуги. Гарантированные государством социальные услуги предоставляются  гражданам бесплатно, а дополнительные услуги  - на условиях частичной и полной оплаты. Создана возможность выбора формы социального обслуживания – в условиях стационара (традиционные МСУ), полустационара (дневные отделения), ухода на дому.             При этом одной из основных задач является не увеличение домов-интернатов, а             создание условий для  нахождения</w:t>
      </w:r>
      <w:r w:rsidRPr="00FB0F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человека, особенно детей-инвалидов,  дома, в </w:t>
      </w:r>
      <w:proofErr w:type="gramStart"/>
      <w:r w:rsidRPr="00FB0F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привычной среде</w:t>
      </w:r>
      <w:proofErr w:type="gramEnd"/>
      <w:r w:rsidRPr="00FB0F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. </w:t>
      </w: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Помещение в стационарное учреждение должно расцениваться как крайняя мера.</w:t>
      </w:r>
    </w:p>
    <w:p w:rsidR="00FB0F61" w:rsidRPr="00FB0F61" w:rsidRDefault="00FB0F61" w:rsidP="00FB0F61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Предоставление специальных социальных услуг,  осуществляется по единым стандартам.  </w:t>
      </w:r>
      <w:proofErr w:type="spellStart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Современи</w:t>
      </w:r>
      <w:proofErr w:type="spellEnd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принятия в 2009 году ЗРК « О специальных социальных услугах» </w:t>
      </w: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разработаны и активно внедряются  стандарт оказания специальных социальных услуг в условиях стационара;  полустационара; на дому  и в условиях временного пребывания.   </w:t>
      </w:r>
    </w:p>
    <w:p w:rsidR="00FB0F61" w:rsidRPr="00FB0F61" w:rsidRDefault="00FB0F61" w:rsidP="00FB0F61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Еще одним важным направлением работы с инвалидами является </w:t>
      </w:r>
      <w:r w:rsidRPr="00FB0F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обеспечение доступности социальных учреждений, транспорта, связи и информации</w:t>
      </w: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  В этом отношении  проведена значительная работа по </w:t>
      </w:r>
      <w:r w:rsidRPr="00FB0F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инвентаризации </w:t>
      </w: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(паспортизации) объектов социальной инфраструктуры. Она  проводится в регионах специальными экспертными группами, в состав которых в обязательном порядке входят представителей общественных организаций инвалидов. За два последних года местными исполнительными органами проведена паспортизация свыше 18 тысяч объектов социальной инфраструктуры, по итогам которой 14,5 тысяч объектов подлежат адаптации в части обеспечения доступа инвалидам.</w:t>
      </w:r>
    </w:p>
    <w:p w:rsidR="00FB0F61" w:rsidRPr="00FB0F61" w:rsidRDefault="00FB0F61" w:rsidP="00FB0F61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  текущем году эта работа будет продолжена. Особое внимание планируется уделить приспособлению к особым потребностям инвалидов</w:t>
      </w:r>
      <w:r w:rsidRPr="00FB0F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дорожной инфраструктуры, расширению </w:t>
      </w:r>
      <w:proofErr w:type="spellStart"/>
      <w:r w:rsidRPr="00FB0F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перечння</w:t>
      </w:r>
      <w:proofErr w:type="spellEnd"/>
      <w:r w:rsidRPr="00FB0F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транспортных услуг</w:t>
      </w: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предоставляемых инвалидам, имеющим затруднения в передвижении. По инициативе  общественных объединений инвалидов у нас  используются услуги социального такси. В настоящее время в областях  функционирует 102  «</w:t>
      </w:r>
      <w:proofErr w:type="spellStart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Инватакси</w:t>
      </w:r>
      <w:proofErr w:type="spellEnd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», которые  ежегодно выполняют  более  ста девяносто тысяч заявок от  инвалидов.  В бюджете 2014 года на эти цели предусмотрено более девяноста млн. тенге.</w:t>
      </w:r>
    </w:p>
    <w:p w:rsidR="00FB0F61" w:rsidRPr="00FB0F61" w:rsidRDefault="00FB0F61" w:rsidP="00FB0F61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Еще одним обязательным условием социализации выступает содействие занятости  инвалидам, сохранившим трудоспособность.  По итогам 2013 года  </w:t>
      </w:r>
      <w:proofErr w:type="gramStart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каждому инвалиду, обратившемуся за содействием в трудоустройстве оказана</w:t>
      </w:r>
      <w:proofErr w:type="gramEnd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мера господдержки.  Немалая роль в этом отводится «Дорожной карте занятости 2020». </w:t>
      </w:r>
      <w:proofErr w:type="gramStart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За период ее реализации </w:t>
      </w:r>
      <w:r w:rsidRPr="00FB0F6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(2011- 9 месяцев 2013 гг.)</w:t>
      </w: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контракт об участии в Программе подписали  2 600 инвалидов, из них охвачены обучением 460 человек,  трудоустроены на постоянные рабочие места после завершения обучения 394 человека, на социальные рабочие места –  1 300 человек, еще 373 человека заняли  временные рабочие места по направлениям на  молодежную практику, около ста четырнадцати  человек получили </w:t>
      </w:r>
      <w:proofErr w:type="spellStart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микрокредиты</w:t>
      </w:r>
      <w:proofErr w:type="spellEnd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proofErr w:type="gramEnd"/>
    </w:p>
    <w:p w:rsidR="00FB0F61" w:rsidRPr="00FB0F61" w:rsidRDefault="00FB0F61" w:rsidP="00FB0F61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Предпринимаются усилия</w:t>
      </w:r>
      <w:proofErr w:type="gramEnd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 по развитию творческих способностей инвалидов,   повороту  общественного сознания к нуждам лиц с ограниченными возможностями, признанию их равными здоровым людям. В целях формирования позитивного отношения к проблемам лиц с инвалидностью, на уровне республики и во всех регионах реализуются медиа-планы по проведению общественно-просветительских кампаний в отношении  инвалидов. Запоминающимся ярким событием в этом отношении стало проведение в текущем году  первого в истории нашей страны фестиваля  </w:t>
      </w:r>
      <w:r w:rsidRPr="00FB0F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proofErr w:type="gramStart"/>
      <w:r w:rsidRPr="00FB0F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РАЗНЫЕ-РАВНЫЕ</w:t>
      </w:r>
      <w:proofErr w:type="gramEnd"/>
      <w:r w:rsidRPr="00FB0F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</w:t>
      </w: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конкурсах по десяти различным номинациям приняли участие около шести тыс. граждан с ограниченными возможностями.  В конце октября в Астане  проведены отборочные туры финального тура конкурса, определены и  награждены памятными подарками победители. Социальные проекты, презентованные участниками конкурса, получили признание и готовятся к внедрению с участием спонсоров – работодателей.</w:t>
      </w:r>
    </w:p>
    <w:p w:rsidR="00FB0F61" w:rsidRPr="00FB0F61" w:rsidRDefault="00FB0F61" w:rsidP="00FB0F61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Проводимая Министерством и его территориальными органами работа по социализации лиц с особыми потребностями  осуществляется во взаимодействии с представителями гражданского общества и, в первую очередь с общественными объединениями инвалидов.</w:t>
      </w:r>
    </w:p>
    <w:p w:rsidR="00FB0F61" w:rsidRPr="00FB0F61" w:rsidRDefault="00FB0F61" w:rsidP="00FB0F61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При Правительстве РК создан и работает Координационный совет в области социальной защиты инвалидов, в котором из 25 членов шестнадцать – представители  НПО.   </w:t>
      </w:r>
      <w:proofErr w:type="gramStart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 Его активными участниками  являются Союз организаций инвалидов Казахстана (</w:t>
      </w:r>
      <w:proofErr w:type="spellStart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Аманбаев</w:t>
      </w:r>
      <w:proofErr w:type="spellEnd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А. А.), общественное объединение «Карагандинское областное добровольное общество инвалидов» (Ивкин А.М.),    общественное объединение инвалидов, имеющих высшее образование «</w:t>
      </w:r>
      <w:proofErr w:type="spellStart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Намыс</w:t>
      </w:r>
      <w:proofErr w:type="spellEnd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 (</w:t>
      </w:r>
      <w:proofErr w:type="spellStart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Иманалиев</w:t>
      </w:r>
      <w:proofErr w:type="spellEnd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К. Е), общественное объединение "Ассоциация женщин-инвалидов "</w:t>
      </w:r>
      <w:proofErr w:type="spellStart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Шырак</w:t>
      </w:r>
      <w:proofErr w:type="spellEnd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" (</w:t>
      </w:r>
      <w:proofErr w:type="spellStart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Калтаева</w:t>
      </w:r>
      <w:proofErr w:type="spellEnd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Л. М.).</w:t>
      </w:r>
      <w:proofErr w:type="gramEnd"/>
    </w:p>
    <w:p w:rsidR="00FB0F61" w:rsidRPr="00FB0F61" w:rsidRDefault="00FB0F61" w:rsidP="00FB0F61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Деятельность Координационного Совета, как консультативно-совещательного органа,  обеспечивает участие всех заинтересованных сторон в нормотворческом процессе, обмене опытом и оперативном реагирование на проблемы,  требующие решения.  Так, например, в состав рабочей группы по разработке проекта Закона РК «О социальной защите инвалидов» привлекались неправительственные общественные объединения «</w:t>
      </w:r>
      <w:proofErr w:type="spellStart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Намыс</w:t>
      </w:r>
      <w:proofErr w:type="spellEnd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», «Центр поддержки глухих инвалидов «</w:t>
      </w:r>
      <w:proofErr w:type="spellStart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Умит</w:t>
      </w:r>
      <w:proofErr w:type="spellEnd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», Центральное Правление Казахского общества слепых.</w:t>
      </w:r>
    </w:p>
    <w:p w:rsidR="00FB0F61" w:rsidRPr="00FB0F61" w:rsidRDefault="00FB0F61" w:rsidP="00FB0F61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пределах своей компетенции Министерство труда и социальной защиты населения Республики Казахстан и его органы на местах сотрудничают с общественными объединениями инвалидов в решении проблем, связанных с социальной защищенностью инвалидов, а также финансировании соответствующих мероприятий (размещение государственных заказов на оказание специальных технических средств реабилитации, оказание специальных социальных услуг).</w:t>
      </w:r>
    </w:p>
    <w:p w:rsidR="00FB0F61" w:rsidRPr="00FB0F61" w:rsidRDefault="00FB0F61" w:rsidP="00FB0F61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Новой инициативой реализации прав лиц, имеющих инвалидность, стало введение института советника при </w:t>
      </w:r>
      <w:proofErr w:type="spellStart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акимах</w:t>
      </w:r>
      <w:proofErr w:type="spellEnd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областей, которых уже насчитывается 14 человек в 14 регионах страны.</w:t>
      </w:r>
    </w:p>
    <w:p w:rsidR="00FB0F61" w:rsidRPr="00FB0F61" w:rsidRDefault="00FB0F61" w:rsidP="00FB0F61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Вместе с тем, наряду с позитивными сдвигами в </w:t>
      </w:r>
      <w:proofErr w:type="spellStart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многовекторой</w:t>
      </w:r>
      <w:proofErr w:type="spellEnd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работе по социализации инвалидов в ней сохраняются и определенные проблемы. Невелики размеры социальных пособий, выплачиваемых инвалидам, сохраняются препятствия и ограничения жизнедеятельности, </w:t>
      </w:r>
      <w:proofErr w:type="spellStart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свзанные</w:t>
      </w:r>
      <w:proofErr w:type="spellEnd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 ограниченной доступностью окружающей среды и рабочих мест.</w:t>
      </w:r>
    </w:p>
    <w:p w:rsidR="00FB0F61" w:rsidRPr="00FB0F61" w:rsidRDefault="00FB0F61" w:rsidP="00FB0F61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этой связи озвученные поручения Главы государства в Послании к народу Казахстана «Казахстанский путь – 2050: Единая цель, единые интересы, единое будущее» имеют </w:t>
      </w:r>
      <w:proofErr w:type="gramStart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важное значение</w:t>
      </w:r>
      <w:proofErr w:type="gramEnd"/>
      <w:r w:rsidRPr="00FB0F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плане формирования общественного сознания и создания условий для преодоления изоляции и создания условий для равноправного участия инвалидов в жизни общества.</w:t>
      </w:r>
    </w:p>
    <w:p w:rsidR="00FA48A9" w:rsidRPr="00FB0F61" w:rsidRDefault="00FB0F61" w:rsidP="00FB0F61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FB0F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И.о</w:t>
      </w:r>
      <w:proofErr w:type="spellEnd"/>
      <w:r w:rsidRPr="00FB0F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директора департамента социальной помощи МТСЗН РК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- </w:t>
      </w:r>
      <w:proofErr w:type="spellStart"/>
      <w:r w:rsidRPr="00FB0F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Айгуль</w:t>
      </w:r>
      <w:proofErr w:type="spellEnd"/>
      <w:r w:rsidRPr="00FB0F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FB0F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Табергенова</w:t>
      </w:r>
      <w:proofErr w:type="spellEnd"/>
    </w:p>
    <w:sectPr w:rsidR="00FA48A9" w:rsidRPr="00FB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C35"/>
    <w:multiLevelType w:val="multilevel"/>
    <w:tmpl w:val="9FC0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6E"/>
    <w:rsid w:val="00557E62"/>
    <w:rsid w:val="005922C6"/>
    <w:rsid w:val="0077606E"/>
    <w:rsid w:val="0079402A"/>
    <w:rsid w:val="00FB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Psiholog1</dc:creator>
  <cp:keywords/>
  <dc:description/>
  <cp:lastModifiedBy>Psiholog1</cp:lastModifiedBy>
  <cp:revision>2</cp:revision>
  <dcterms:created xsi:type="dcterms:W3CDTF">2015-02-02T11:04:00Z</dcterms:created>
  <dcterms:modified xsi:type="dcterms:W3CDTF">2015-02-02T11:04:00Z</dcterms:modified>
</cp:coreProperties>
</file>